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ReBuild circular construction marketplace</w:t>
      </w:r>
    </w:p>
    <w:p>
      <w:r>
        <w:t>Business outline and pitch guide for E Merge 2026</w:t>
      </w:r>
    </w:p>
    <w:p>
      <w:r>
        <w:t>We propose a Hyderabad marketplace that turns irregular surplus and recovered construction materials into dependable procurement. Our priority is specification matching, quality evidence and predictable fulfilment. The website demonstrates the experience with sample data; partnerships, inventory, testing services and financial results are not yet established.</w:t>
      </w:r>
    </w:p>
    <w:p>
      <w:pPr>
        <w:pStyle w:val="Heading2"/>
      </w:pPr>
      <w:r>
        <w:t>The problem and our promise</w:t>
      </w:r>
    </w:p>
    <w:p>
      <w:r>
        <w:t>Demolition contractors and builders hold fragmented material lots, while buyers need a usable specification, sufficient quantity, a predictable landed price and an agreed date. A listing alone does not resolve condition, compatibility or delivery risk. ReBuild will coordinate those steps and retain the evidence for each batch.</w:t>
      </w:r>
    </w:p>
    <w:p>
      <w:pPr>
        <w:pStyle w:val="Heading2"/>
      </w:pPr>
      <w:r>
        <w:t>The core offering</w:t>
      </w:r>
    </w:p>
    <w:p>
      <w:r>
        <w:t>Buyers submit a requirement. We identify compatible supply from multiple sites, inspect it, complete the applicable testing, issue a batch passport and reserve approved quantities. We quote material, transport, handling, fees and taxes transparently before committing to a delivery slot. Planned demolition output remains a forecast until recovery and verification.</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cantSplit/>
          <w:tblHeader/>
        </w:trPr>
        <w:tc>
          <w:tcPr>
            <w:tcW w:type="dxa" w:w="4968"/>
            <w:shd w:fill="E3E8E4"/>
          </w:tcPr>
          <w:p>
            <w:pPr>
              <w:spacing w:after="80" w:before="80"/>
            </w:pPr>
            <w:r>
              <w:rPr>
                <w:b/>
                <w:sz w:val="18"/>
              </w:rPr>
              <w:t>Pillar</w:t>
            </w:r>
          </w:p>
        </w:tc>
        <w:tc>
          <w:tcPr>
            <w:tcW w:type="dxa" w:w="4968"/>
            <w:shd w:fill="E3E8E4"/>
          </w:tcPr>
          <w:p>
            <w:pPr>
              <w:spacing w:after="80" w:before="80"/>
            </w:pPr>
            <w:r>
              <w:rPr>
                <w:b/>
                <w:sz w:val="18"/>
              </w:rPr>
              <w:t>What we will do</w:t>
            </w:r>
          </w:p>
        </w:tc>
      </w:tr>
      <w:tr>
        <w:trPr>
          <w:cantSplit/>
        </w:trPr>
        <w:tc>
          <w:tcPr>
            <w:tcW w:type="dxa" w:w="4968"/>
            <w:shd w:fill="FFFFFF"/>
          </w:tcPr>
          <w:p>
            <w:pPr>
              <w:spacing w:after="80" w:before="80"/>
            </w:pPr>
            <w:r>
              <w:rPr>
                <w:b w:val="0"/>
                <w:sz w:val="18"/>
              </w:rPr>
              <w:t>Reliability</w:t>
            </w:r>
          </w:p>
        </w:tc>
        <w:tc>
          <w:tcPr>
            <w:tcW w:type="dxa" w:w="4968"/>
            <w:shd w:fill="FFFFFF"/>
          </w:tcPr>
          <w:p>
            <w:pPr>
              <w:spacing w:after="80" w:before="80"/>
            </w:pPr>
            <w:r>
              <w:rPr>
                <w:b w:val="0"/>
                <w:sz w:val="18"/>
              </w:rPr>
              <w:t>Reserve verified stock; confirm transport; offer buyer-approved replacements or defined remedies.</w:t>
            </w:r>
          </w:p>
        </w:tc>
      </w:tr>
      <w:tr>
        <w:trPr>
          <w:cantSplit/>
        </w:trPr>
        <w:tc>
          <w:tcPr>
            <w:tcW w:type="dxa" w:w="4968"/>
            <w:shd w:fill="F6F7F6"/>
          </w:tcPr>
          <w:p>
            <w:pPr>
              <w:spacing w:after="80" w:before="80"/>
            </w:pPr>
            <w:r>
              <w:rPr>
                <w:b w:val="0"/>
                <w:sz w:val="18"/>
              </w:rPr>
              <w:t>Standardisation</w:t>
            </w:r>
          </w:p>
        </w:tc>
        <w:tc>
          <w:tcPr>
            <w:tcW w:type="dxa" w:w="4968"/>
            <w:shd w:fill="F6F7F6"/>
          </w:tcPr>
          <w:p>
            <w:pPr>
              <w:spacing w:after="80" w:before="80"/>
            </w:pPr>
            <w:r>
              <w:rPr>
                <w:b w:val="0"/>
                <w:sz w:val="18"/>
              </w:rPr>
              <w:t>Match dimensions, material, finish, shade, performance and intended application.</w:t>
            </w:r>
          </w:p>
        </w:tc>
      </w:tr>
      <w:tr>
        <w:trPr>
          <w:cantSplit/>
        </w:trPr>
        <w:tc>
          <w:tcPr>
            <w:tcW w:type="dxa" w:w="4968"/>
            <w:shd w:fill="FFFFFF"/>
          </w:tcPr>
          <w:p>
            <w:pPr>
              <w:spacing w:after="80" w:before="80"/>
            </w:pPr>
            <w:r>
              <w:rPr>
                <w:b w:val="0"/>
                <w:sz w:val="18"/>
              </w:rPr>
              <w:t>Predictive sourcing</w:t>
            </w:r>
          </w:p>
        </w:tc>
        <w:tc>
          <w:tcPr>
            <w:tcW w:type="dxa" w:w="4968"/>
            <w:shd w:fill="FFFFFF"/>
          </w:tcPr>
          <w:p>
            <w:pPr>
              <w:spacing w:after="80" w:before="80"/>
            </w:pPr>
            <w:r>
              <w:rPr>
                <w:b w:val="0"/>
                <w:sz w:val="18"/>
              </w:rPr>
              <w:t>Prepare preliminary salvage catalogues before demolition, then verify on site.</w:t>
            </w:r>
          </w:p>
        </w:tc>
      </w:tr>
      <w:tr>
        <w:trPr>
          <w:cantSplit/>
        </w:trPr>
        <w:tc>
          <w:tcPr>
            <w:tcW w:type="dxa" w:w="4968"/>
            <w:shd w:fill="F6F7F6"/>
          </w:tcPr>
          <w:p>
            <w:pPr>
              <w:spacing w:after="80" w:before="80"/>
            </w:pPr>
            <w:r>
              <w:rPr>
                <w:b w:val="0"/>
                <w:sz w:val="18"/>
              </w:rPr>
              <w:t>Traceability</w:t>
            </w:r>
          </w:p>
        </w:tc>
        <w:tc>
          <w:tcPr>
            <w:tcW w:type="dxa" w:w="4968"/>
            <w:shd w:fill="F6F7F6"/>
          </w:tcPr>
          <w:p>
            <w:pPr>
              <w:spacing w:after="80" w:before="80"/>
            </w:pPr>
            <w:r>
              <w:rPr>
                <w:b w:val="0"/>
                <w:sz w:val="18"/>
              </w:rPr>
              <w:t>Link each batch to its source, inspection, test status, quantity and fulfilment records.</w:t>
            </w:r>
          </w:p>
        </w:tc>
      </w:tr>
    </w:tbl>
    <w:p>
      <w:pPr>
        <w:pStyle w:val="Heading2"/>
      </w:pPr>
      <w:r>
        <w:t>Initial market and exclusions</w:t>
      </w:r>
    </w:p>
    <w:p>
      <w:r>
        <w:t>Launch in one north-west Hyderabad service area. Prioritise small builders, renovation contractors, landscapers and paving contractors. Begin with surplus tiles, selected non-structural recovered items and tested processor products. Avoid structural reuse claims without project-specific engineering approval. Tool rental is a possible later business and is outside the initial scope.</w:t>
      </w:r>
    </w:p>
    <w:p>
      <w:r>
        <w:br w:type="page"/>
      </w:r>
    </w:p>
    <w:p>
      <w:pPr>
        <w:pStyle w:val="Heading1"/>
      </w:pPr>
      <w:r>
        <w:t>Quality and material passports</w:t>
      </w:r>
    </w:p>
    <w:p>
      <w:r>
        <w:t>Every listed batch follows a documented, material-specific inspection plan. Individual visual and dimensional checks are used where appropriate; laboratory testing follows suitable sampling protocols. Testing every individual tile destructively would eliminate usable stock and is not the operating model.</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cantSplit/>
          <w:tblHeader/>
        </w:trPr>
        <w:tc>
          <w:tcPr>
            <w:tcW w:type="dxa" w:w="4968"/>
            <w:shd w:fill="E3E8E4"/>
          </w:tcPr>
          <w:p>
            <w:pPr>
              <w:spacing w:after="80" w:before="80"/>
            </w:pPr>
            <w:r>
              <w:rPr>
                <w:b/>
                <w:sz w:val="18"/>
              </w:rPr>
              <w:t>Grade</w:t>
            </w:r>
          </w:p>
        </w:tc>
        <w:tc>
          <w:tcPr>
            <w:tcW w:type="dxa" w:w="4968"/>
            <w:shd w:fill="E3E8E4"/>
          </w:tcPr>
          <w:p>
            <w:pPr>
              <w:spacing w:after="80" w:before="80"/>
            </w:pPr>
            <w:r>
              <w:rPr>
                <w:b/>
                <w:sz w:val="18"/>
              </w:rPr>
              <w:t>Condition and route</w:t>
            </w:r>
          </w:p>
        </w:tc>
      </w:tr>
      <w:tr>
        <w:trPr>
          <w:cantSplit/>
        </w:trPr>
        <w:tc>
          <w:tcPr>
            <w:tcW w:type="dxa" w:w="4968"/>
            <w:shd w:fill="FFFFFF"/>
          </w:tcPr>
          <w:p>
            <w:pPr>
              <w:spacing w:after="80" w:before="80"/>
            </w:pPr>
            <w:r>
              <w:rPr>
                <w:b w:val="0"/>
                <w:sz w:val="18"/>
              </w:rPr>
              <w:t>A</w:t>
            </w:r>
          </w:p>
        </w:tc>
        <w:tc>
          <w:tcPr>
            <w:tcW w:type="dxa" w:w="4968"/>
            <w:shd w:fill="FFFFFF"/>
          </w:tcPr>
          <w:p>
            <w:pPr>
              <w:spacing w:after="80" w:before="80"/>
            </w:pPr>
            <w:r>
              <w:rPr>
                <w:b w:val="0"/>
                <w:sz w:val="18"/>
              </w:rPr>
              <w:t>Excellent condition; suitable for stated direct reuse after required checks.</w:t>
            </w:r>
          </w:p>
        </w:tc>
      </w:tr>
      <w:tr>
        <w:trPr>
          <w:cantSplit/>
        </w:trPr>
        <w:tc>
          <w:tcPr>
            <w:tcW w:type="dxa" w:w="4968"/>
            <w:shd w:fill="F6F7F6"/>
          </w:tcPr>
          <w:p>
            <w:pPr>
              <w:spacing w:after="80" w:before="80"/>
            </w:pPr>
            <w:r>
              <w:rPr>
                <w:b w:val="0"/>
                <w:sz w:val="18"/>
              </w:rPr>
              <w:t>B</w:t>
            </w:r>
          </w:p>
        </w:tc>
        <w:tc>
          <w:tcPr>
            <w:tcW w:type="dxa" w:w="4968"/>
            <w:shd w:fill="F6F7F6"/>
          </w:tcPr>
          <w:p>
            <w:pPr>
              <w:spacing w:after="80" w:before="80"/>
            </w:pPr>
            <w:r>
              <w:rPr>
                <w:b w:val="0"/>
                <w:sz w:val="18"/>
              </w:rPr>
              <w:t>Minor defects or refurbishment required; limitations and secondary applications disclosed.</w:t>
            </w:r>
          </w:p>
        </w:tc>
      </w:tr>
      <w:tr>
        <w:trPr>
          <w:cantSplit/>
        </w:trPr>
        <w:tc>
          <w:tcPr>
            <w:tcW w:type="dxa" w:w="4968"/>
            <w:shd w:fill="FFFFFF"/>
          </w:tcPr>
          <w:p>
            <w:pPr>
              <w:spacing w:after="80" w:before="80"/>
            </w:pPr>
            <w:r>
              <w:rPr>
                <w:b w:val="0"/>
                <w:sz w:val="18"/>
              </w:rPr>
              <w:t>C</w:t>
            </w:r>
          </w:p>
        </w:tc>
        <w:tc>
          <w:tcPr>
            <w:tcW w:type="dxa" w:w="4968"/>
            <w:shd w:fill="FFFFFF"/>
          </w:tcPr>
          <w:p>
            <w:pPr>
              <w:spacing w:after="80" w:before="80"/>
            </w:pPr>
            <w:r>
              <w:rPr>
                <w:b w:val="0"/>
                <w:sz w:val="18"/>
              </w:rPr>
              <w:t>Not suitable for direct reuse; route eligible material to authorised recyclers after acceptance checks.</w:t>
            </w:r>
          </w:p>
        </w:tc>
      </w:tr>
    </w:tbl>
    <w:p>
      <w:r>
        <w:t>These are internal condition grades, not universal strength ratings or BIS certification. Hazardous or suspect materials need an appropriate separate handling channel. A laboratory test report, a product certification and an engineer’s application approval are different forms of evidence.</w:t>
      </w:r>
    </w:p>
    <w:p>
      <w:pPr>
        <w:pStyle w:val="Heading2"/>
      </w:pPr>
      <w:r>
        <w:t>Passport contents</w:t>
      </w:r>
    </w:p>
    <w:p>
      <w:r>
        <w:t>Each batch has a stable identifier and QR-linked record: material identification; source location and recovery/inspection dates; available quantity and unit; condition grade; full specification; inspection photographs; inspector details; relevant laboratory reports and scope; recommended and excluded applications; current inventory status; and delivery/acceptance history. Changes should be versioned and outdated availability clearly marked.</w:t>
      </w:r>
    </w:p>
    <w:p>
      <w:pPr>
        <w:pStyle w:val="Heading2"/>
      </w:pPr>
      <w:r>
        <w:t>Examples of checks</w:t>
      </w:r>
    </w:p>
    <w:p>
      <w:r>
        <w:t>Tiles: dimensions, thickness, edge damage, warpage, shade/calibre, finish and applicable performance evidence. Timber doors: dimensions, cracks, moisture damage, termite damage and refurbishment needs; no implied fire rating. Aggregates: grading, contamination, water absorption and application-specific laboratory tests. A qualified materials lead sets the test plan with the laboratory and buyer engineer.</w:t>
      </w:r>
    </w:p>
    <w:p>
      <w:pPr>
        <w:pStyle w:val="Heading2"/>
      </w:pPr>
      <w:r>
        <w:t>Inventory confidence</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cantSplit/>
          <w:tblHeader/>
        </w:trPr>
        <w:tc>
          <w:tcPr>
            <w:tcW w:type="dxa" w:w="4968"/>
            <w:shd w:fill="E3E8E4"/>
          </w:tcPr>
          <w:p>
            <w:pPr>
              <w:spacing w:after="80" w:before="80"/>
            </w:pPr>
            <w:r>
              <w:rPr>
                <w:b/>
                <w:sz w:val="18"/>
              </w:rPr>
              <w:t>Status</w:t>
            </w:r>
          </w:p>
        </w:tc>
        <w:tc>
          <w:tcPr>
            <w:tcW w:type="dxa" w:w="4968"/>
            <w:shd w:fill="E3E8E4"/>
          </w:tcPr>
          <w:p>
            <w:pPr>
              <w:spacing w:after="80" w:before="80"/>
            </w:pPr>
            <w:r>
              <w:rPr>
                <w:b/>
                <w:sz w:val="18"/>
              </w:rPr>
              <w:t>Meaning</w:t>
            </w:r>
          </w:p>
        </w:tc>
      </w:tr>
      <w:tr>
        <w:trPr>
          <w:cantSplit/>
        </w:trPr>
        <w:tc>
          <w:tcPr>
            <w:tcW w:type="dxa" w:w="4968"/>
            <w:shd w:fill="FFFFFF"/>
          </w:tcPr>
          <w:p>
            <w:pPr>
              <w:spacing w:after="80" w:before="80"/>
            </w:pPr>
            <w:r>
              <w:rPr>
                <w:b w:val="0"/>
                <w:sz w:val="18"/>
              </w:rPr>
              <w:t>Planned</w:t>
            </w:r>
          </w:p>
        </w:tc>
        <w:tc>
          <w:tcPr>
            <w:tcW w:type="dxa" w:w="4968"/>
            <w:shd w:fill="FFFFFF"/>
          </w:tcPr>
          <w:p>
            <w:pPr>
              <w:spacing w:after="80" w:before="80"/>
            </w:pPr>
            <w:r>
              <w:rPr>
                <w:b w:val="0"/>
                <w:sz w:val="18"/>
              </w:rPr>
              <w:t>Expected from a future site; not reservable or promised.</w:t>
            </w:r>
          </w:p>
        </w:tc>
      </w:tr>
      <w:tr>
        <w:trPr>
          <w:cantSplit/>
        </w:trPr>
        <w:tc>
          <w:tcPr>
            <w:tcW w:type="dxa" w:w="4968"/>
            <w:shd w:fill="F6F7F6"/>
          </w:tcPr>
          <w:p>
            <w:pPr>
              <w:spacing w:after="80" w:before="80"/>
            </w:pPr>
            <w:r>
              <w:rPr>
                <w:b w:val="0"/>
                <w:sz w:val="18"/>
              </w:rPr>
              <w:t>Verified</w:t>
            </w:r>
          </w:p>
        </w:tc>
        <w:tc>
          <w:tcPr>
            <w:tcW w:type="dxa" w:w="4968"/>
            <w:shd w:fill="F6F7F6"/>
          </w:tcPr>
          <w:p>
            <w:pPr>
              <w:spacing w:after="80" w:before="80"/>
            </w:pPr>
            <w:r>
              <w:rPr>
                <w:b w:val="0"/>
                <w:sz w:val="18"/>
              </w:rPr>
              <w:t>Physically checked; record any outstanding release tests.</w:t>
            </w:r>
          </w:p>
        </w:tc>
      </w:tr>
      <w:tr>
        <w:trPr>
          <w:cantSplit/>
        </w:trPr>
        <w:tc>
          <w:tcPr>
            <w:tcW w:type="dxa" w:w="4968"/>
            <w:shd w:fill="FFFFFF"/>
          </w:tcPr>
          <w:p>
            <w:pPr>
              <w:spacing w:after="80" w:before="80"/>
            </w:pPr>
            <w:r>
              <w:rPr>
                <w:b w:val="0"/>
                <w:sz w:val="18"/>
              </w:rPr>
              <w:t>Reserved</w:t>
            </w:r>
          </w:p>
        </w:tc>
        <w:tc>
          <w:tcPr>
            <w:tcW w:type="dxa" w:w="4968"/>
            <w:shd w:fill="FFFFFF"/>
          </w:tcPr>
          <w:p>
            <w:pPr>
              <w:spacing w:after="80" w:before="80"/>
            </w:pPr>
            <w:r>
              <w:rPr>
                <w:b w:val="0"/>
                <w:sz w:val="18"/>
              </w:rPr>
              <w:t>Approved quantity allocated to an identified order.</w:t>
            </w:r>
          </w:p>
        </w:tc>
      </w:tr>
      <w:tr>
        <w:trPr>
          <w:cantSplit/>
        </w:trPr>
        <w:tc>
          <w:tcPr>
            <w:tcW w:type="dxa" w:w="4968"/>
            <w:shd w:fill="F6F7F6"/>
          </w:tcPr>
          <w:p>
            <w:pPr>
              <w:spacing w:after="80" w:before="80"/>
            </w:pPr>
            <w:r>
              <w:rPr>
                <w:b w:val="0"/>
                <w:sz w:val="18"/>
              </w:rPr>
              <w:t>Ready</w:t>
            </w:r>
          </w:p>
        </w:tc>
        <w:tc>
          <w:tcPr>
            <w:tcW w:type="dxa" w:w="4968"/>
            <w:shd w:fill="F6F7F6"/>
          </w:tcPr>
          <w:p>
            <w:pPr>
              <w:spacing w:after="80" w:before="80"/>
            </w:pPr>
            <w:r>
              <w:rPr>
                <w:b w:val="0"/>
                <w:sz w:val="18"/>
              </w:rPr>
              <w:t>Release checks complete and material available for dispatch.</w:t>
            </w:r>
          </w:p>
        </w:tc>
      </w:tr>
    </w:tbl>
    <w:p>
      <w:r>
        <w:t>The prototype explicitly labels records as samples and does not invent inspection photographs, certificates or laboratory reports. Its QR codes open sample passports on the hosted site; private-site access still applies.</w:t>
      </w:r>
    </w:p>
    <w:p>
      <w:r>
        <w:br w:type="page"/>
      </w:r>
    </w:p>
    <w:p>
      <w:pPr>
        <w:pStyle w:val="Heading1"/>
      </w:pPr>
      <w:r>
        <w:t>Predictable sourcing and fulfilment</w:t>
      </w:r>
    </w:p>
    <w:p>
      <w:pPr>
        <w:pStyle w:val="Heading2"/>
      </w:pPr>
      <w:r>
        <w:t>Combining supply without compromising compatibility</w:t>
      </w:r>
    </w:p>
    <w:p>
      <w:r>
        <w:t>For a buyer needing 200 tiles, source 100 from Site A, 80 from Site B and 20 from Site C, provided all match the approved specification. Keep the original batch identities in the consolidated order. Another Grade A batch with a different shade is excluded. Buyer approval of physical samples is required where visual consistency matters.</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3312"/>
        <w:gridCol w:w="3312"/>
      </w:tblGrid>
      <w:tr>
        <w:trPr>
          <w:cantSplit/>
          <w:tblHeader/>
        </w:trPr>
        <w:tc>
          <w:tcPr>
            <w:tcW w:type="dxa" w:w="3312"/>
            <w:shd w:fill="E3E8E4"/>
          </w:tcPr>
          <w:p>
            <w:pPr>
              <w:spacing w:after="80" w:before="80"/>
            </w:pPr>
            <w:r>
              <w:rPr>
                <w:b/>
                <w:sz w:val="18"/>
              </w:rPr>
              <w:t>Source</w:t>
            </w:r>
          </w:p>
        </w:tc>
        <w:tc>
          <w:tcPr>
            <w:tcW w:type="dxa" w:w="3312"/>
            <w:shd w:fill="E3E8E4"/>
          </w:tcPr>
          <w:p>
            <w:pPr>
              <w:spacing w:after="80" w:before="80"/>
            </w:pPr>
            <w:r>
              <w:rPr>
                <w:b/>
                <w:sz w:val="18"/>
              </w:rPr>
              <w:t>Compatible stock</w:t>
            </w:r>
          </w:p>
        </w:tc>
        <w:tc>
          <w:tcPr>
            <w:tcW w:type="dxa" w:w="3312"/>
            <w:shd w:fill="E3E8E4"/>
          </w:tcPr>
          <w:p>
            <w:pPr>
              <w:spacing w:after="80" w:before="80"/>
            </w:pPr>
            <w:r>
              <w:rPr>
                <w:b/>
                <w:sz w:val="18"/>
              </w:rPr>
              <w:t>Allocated to example order</w:t>
            </w:r>
          </w:p>
        </w:tc>
      </w:tr>
      <w:tr>
        <w:trPr>
          <w:cantSplit/>
        </w:trPr>
        <w:tc>
          <w:tcPr>
            <w:tcW w:type="dxa" w:w="3312"/>
            <w:shd w:fill="FFFFFF"/>
          </w:tcPr>
          <w:p>
            <w:pPr>
              <w:spacing w:after="80" w:before="80"/>
            </w:pPr>
            <w:r>
              <w:rPr>
                <w:b w:val="0"/>
                <w:sz w:val="18"/>
              </w:rPr>
              <w:t>Site A</w:t>
            </w:r>
          </w:p>
        </w:tc>
        <w:tc>
          <w:tcPr>
            <w:tcW w:type="dxa" w:w="3312"/>
            <w:shd w:fill="FFFFFF"/>
          </w:tcPr>
          <w:p>
            <w:pPr>
              <w:spacing w:after="80" w:before="80"/>
            </w:pPr>
            <w:r>
              <w:rPr>
                <w:b w:val="0"/>
                <w:sz w:val="18"/>
              </w:rPr>
              <w:t>100 tiles</w:t>
            </w:r>
          </w:p>
        </w:tc>
        <w:tc>
          <w:tcPr>
            <w:tcW w:type="dxa" w:w="3312"/>
            <w:shd w:fill="FFFFFF"/>
          </w:tcPr>
          <w:p>
            <w:pPr>
              <w:spacing w:after="80" w:before="80"/>
            </w:pPr>
            <w:r>
              <w:rPr>
                <w:b w:val="0"/>
                <w:sz w:val="18"/>
              </w:rPr>
              <w:t>100 tiles</w:t>
            </w:r>
          </w:p>
        </w:tc>
      </w:tr>
      <w:tr>
        <w:trPr>
          <w:cantSplit/>
        </w:trPr>
        <w:tc>
          <w:tcPr>
            <w:tcW w:type="dxa" w:w="3312"/>
            <w:shd w:fill="F6F7F6"/>
          </w:tcPr>
          <w:p>
            <w:pPr>
              <w:spacing w:after="80" w:before="80"/>
            </w:pPr>
            <w:r>
              <w:rPr>
                <w:b w:val="0"/>
                <w:sz w:val="18"/>
              </w:rPr>
              <w:t>Site B</w:t>
            </w:r>
          </w:p>
        </w:tc>
        <w:tc>
          <w:tcPr>
            <w:tcW w:type="dxa" w:w="3312"/>
            <w:shd w:fill="F6F7F6"/>
          </w:tcPr>
          <w:p>
            <w:pPr>
              <w:spacing w:after="80" w:before="80"/>
            </w:pPr>
            <w:r>
              <w:rPr>
                <w:b w:val="0"/>
                <w:sz w:val="18"/>
              </w:rPr>
              <w:t>80 tiles</w:t>
            </w:r>
          </w:p>
        </w:tc>
        <w:tc>
          <w:tcPr>
            <w:tcW w:type="dxa" w:w="3312"/>
            <w:shd w:fill="F6F7F6"/>
          </w:tcPr>
          <w:p>
            <w:pPr>
              <w:spacing w:after="80" w:before="80"/>
            </w:pPr>
            <w:r>
              <w:rPr>
                <w:b w:val="0"/>
                <w:sz w:val="18"/>
              </w:rPr>
              <w:t>80 tiles</w:t>
            </w:r>
          </w:p>
        </w:tc>
      </w:tr>
      <w:tr>
        <w:trPr>
          <w:cantSplit/>
        </w:trPr>
        <w:tc>
          <w:tcPr>
            <w:tcW w:type="dxa" w:w="3312"/>
            <w:shd w:fill="FFFFFF"/>
          </w:tcPr>
          <w:p>
            <w:pPr>
              <w:spacing w:after="80" w:before="80"/>
            </w:pPr>
            <w:r>
              <w:rPr>
                <w:b w:val="0"/>
                <w:sz w:val="18"/>
              </w:rPr>
              <w:t>Site C</w:t>
            </w:r>
          </w:p>
        </w:tc>
        <w:tc>
          <w:tcPr>
            <w:tcW w:type="dxa" w:w="3312"/>
            <w:shd w:fill="FFFFFF"/>
          </w:tcPr>
          <w:p>
            <w:pPr>
              <w:spacing w:after="80" w:before="80"/>
            </w:pPr>
            <w:r>
              <w:rPr>
                <w:b w:val="0"/>
                <w:sz w:val="18"/>
              </w:rPr>
              <w:t>120 tiles</w:t>
            </w:r>
          </w:p>
        </w:tc>
        <w:tc>
          <w:tcPr>
            <w:tcW w:type="dxa" w:w="3312"/>
            <w:shd w:fill="FFFFFF"/>
          </w:tcPr>
          <w:p>
            <w:pPr>
              <w:spacing w:after="80" w:before="80"/>
            </w:pPr>
            <w:r>
              <w:rPr>
                <w:b w:val="0"/>
                <w:sz w:val="18"/>
              </w:rPr>
              <w:t>20 tiles</w:t>
            </w:r>
          </w:p>
        </w:tc>
      </w:tr>
      <w:tr>
        <w:trPr>
          <w:cantSplit/>
        </w:trPr>
        <w:tc>
          <w:tcPr>
            <w:tcW w:type="dxa" w:w="3312"/>
            <w:shd w:fill="F6F7F6"/>
          </w:tcPr>
          <w:p>
            <w:pPr>
              <w:spacing w:after="80" w:before="80"/>
            </w:pPr>
            <w:r>
              <w:rPr>
                <w:b w:val="0"/>
                <w:sz w:val="18"/>
              </w:rPr>
              <w:t>Site D</w:t>
            </w:r>
          </w:p>
        </w:tc>
        <w:tc>
          <w:tcPr>
            <w:tcW w:type="dxa" w:w="3312"/>
            <w:shd w:fill="F6F7F6"/>
          </w:tcPr>
          <w:p>
            <w:pPr>
              <w:spacing w:after="80" w:before="80"/>
            </w:pPr>
            <w:r>
              <w:rPr>
                <w:b w:val="0"/>
                <w:sz w:val="18"/>
              </w:rPr>
              <w:t>150 tiles with different shade</w:t>
            </w:r>
          </w:p>
        </w:tc>
        <w:tc>
          <w:tcPr>
            <w:tcW w:type="dxa" w:w="3312"/>
            <w:shd w:fill="F6F7F6"/>
          </w:tcPr>
          <w:p>
            <w:pPr>
              <w:spacing w:after="80" w:before="80"/>
            </w:pPr>
            <w:r>
              <w:rPr>
                <w:b w:val="0"/>
                <w:sz w:val="18"/>
              </w:rPr>
              <w:t>0 tiles</w:t>
            </w:r>
          </w:p>
        </w:tc>
      </w:tr>
    </w:tbl>
    <w:p>
      <w:r>
        <w:t>A larger order than available compatible supply must show its shortfall. Do not silently substitute a different shade, downgrade quality or imply a guarantee from planned supply. A replacement needs buyer approval and an agreed remedy if fulfilment fails.</w:t>
      </w:r>
    </w:p>
    <w:p>
      <w:pPr>
        <w:pStyle w:val="Heading2"/>
      </w:pPr>
      <w:r>
        <w:t>Pre demolition image recognition</w:t>
      </w:r>
    </w:p>
    <w:p>
      <w:r>
        <w:t>The proposed system accepts site photographs and suggests material categories and a preliminary salvage catalogue. A surveyor confirms quantities, dimensions, hidden condition, access constraints and recoverable yield. The forecast combines survey findings with demolition dates and past recovery outcomes. Forecast confidence should be recorded and measured against actual recovery.</w:t>
      </w:r>
    </w:p>
    <w:p>
      <w:r>
        <w:t>Computer vision is an assistant to inspection; it cannot certify hidden damage or structural safety. The current website previews photos locally and offers a labelled example catalogue. It does not run image recognition.</w:t>
      </w:r>
    </w:p>
    <w:p>
      <w:pPr>
        <w:pStyle w:val="Heading2"/>
      </w:pPr>
      <w:r>
        <w:t>Operational workflow and ownership</w:t>
      </w:r>
    </w:p>
    <w:p>
      <w:r>
        <w:t>Requirement capture → specification review → supply shortlist → on-site survey → acceptance and test plan → recovery and segregation → batch release → reservation → transport confirmation → delivery and buyer acceptance → documented settlement and dispute handling.</w:t>
      </w:r>
    </w:p>
    <w:p>
      <w:r>
        <w:t>A sales/procurement lead owns requirements and supplier bids. A qualified materials lead owns grading and release. An operations coordinator owns segregation, transport, partner-yard handling and delivery. Finance maintains settlements, refunds, reconciliation and contribution reporting. Testing laboratories and transport providers are contracted.</w:t>
      </w:r>
    </w:p>
    <w:p>
      <w:r>
        <w:t>Prefer direct source-to-buyer movement where feasible. Use partner yards for consolidation and fast-moving stock only when storage, damage and extra handling costs justify it. Price-lock validity, acceptance criteria and replacement limits must be stated before payment.</w:t>
      </w:r>
    </w:p>
    <w:p>
      <w:r>
        <w:br w:type="page"/>
      </w:r>
    </w:p>
    <w:p>
      <w:pPr>
        <w:pStyle w:val="Heading1"/>
      </w:pPr>
      <w:r>
        <w:t>Customers partnerships and market entry</w:t>
      </w:r>
    </w:p>
    <w:p>
      <w:pPr>
        <w:pStyle w:val="Heading2"/>
      </w:pPr>
      <w:r>
        <w:t>Demand first launch</w:t>
      </w:r>
    </w:p>
    <w:p>
      <w:r>
        <w:t>Collect qualified requirements before accumulating inventory: specification, quantity, delivery area, date, application and budget. Publish anonymised requirements to eligible suppliers and solicit quotes. Evaluate bids on delivered cost, compatibility, evidence and fulfilment reliability. Demand will not automatically attract supply; recruit and verify anchor suppliers directly.</w:t>
      </w:r>
    </w:p>
    <w:p>
      <w:r>
        <w:t>First 30 days: interview 15 buyers, obtain processor and logistics quotations and select three repeatable specifications. Days 31–60: target two processor relationships, several surplus suppliers and five paid pilot orders. Days 61–90: pursue repeat purchases and test scheduled procurement. These are proposed activities, not completed traction.</w:t>
      </w:r>
    </w:p>
    <w:p>
      <w:pPr>
        <w:pStyle w:val="Heading2"/>
      </w:pPr>
      <w:r>
        <w:t>Marketing and customers</w:t>
      </w:r>
    </w:p>
    <w:p>
      <w:r>
        <w:t>Use site visits, contractor referrals, material dealers, relevant builder associations and WhatsApp catalogues. Demonstrate a sample installation, full passport and landed-price comparison. Large builders may buy assessment and salvage-planning services. Municipal bodies and government contractors are prospective institutional partners, not current clients; tenders require separate eligibility and specification compliance.</w:t>
      </w:r>
    </w:p>
    <w:p>
      <w:pPr>
        <w:pStyle w:val="Heading2"/>
      </w:pPr>
      <w:r>
        <w:t>Recycling partnership loop</w:t>
      </w:r>
    </w:p>
    <w:p>
      <w:r>
        <w:t>Grade C material goes to authorised facilities only after contamination screening and commercial acceptance. Agree eligible inputs, handling charges, weighing, rejection terms, transport responsibilities and documentation. Negotiate offtake of suitable recycled outputs, without promising guaranteed discounts or a one-to-one conversion.</w:t>
      </w:r>
    </w:p>
    <w:p>
      <w:r>
        <w:t>The recycled product returns as a new batch with its own specification, tests, grade and passport. Link source and processing records where reliable. Partner inventories may cover shortages only when the output matches the buyer’s requirement; aggregate cannot substitute for a tile order. This model uses existing processing capability rather than funding a new plant at launch.</w:t>
      </w:r>
    </w:p>
    <w:p>
      <w:pPr>
        <w:pStyle w:val="Heading2"/>
      </w:pPr>
      <w:r>
        <w:t>Competitor position</w:t>
      </w:r>
    </w:p>
    <w:p>
      <w:r>
        <w:t>ZiNterio Surplus describes a Karnataka-launch community marketplace with sell/give listings, wanted posts, clearance requests and direct phone/WhatsApp contact. Its public terms generally leave inspection, pricing, transport and transactions to users unless expressly identified otherwise. ReBuild proposes to manage compatibility, evidence, reservations and coordinated delivery. This is a proposed operating distinction, not a claim to be the first or only marketplace. [5]</w:t>
      </w:r>
    </w:p>
    <w:p>
      <w:r>
        <w:t>Processors, scrap dealers and conventional material dealers are both alternatives and potential partners. The defensible advantage would be repeat procurement relationships, verified specification histories, supplier reliability data and delivery density—not simply an app or QR code.</w:t>
      </w:r>
    </w:p>
    <w:p>
      <w:r>
        <w:br w:type="page"/>
      </w:r>
    </w:p>
    <w:p>
      <w:pPr>
        <w:pStyle w:val="Heading1"/>
      </w:pPr>
      <w:r>
        <w:t>Financial strategy and growth measurement</w:t>
      </w:r>
    </w:p>
    <w:p>
      <w:pPr>
        <w:pStyle w:val="Heading2"/>
      </w:pPr>
      <w:r>
        <w:t>Revenue model</w:t>
      </w:r>
    </w:p>
    <w:p>
      <w:r>
        <w:t>Use an agency marketplace model initially: an assumed 8–10% transaction commission, separately agreed inspection/sourcing fees and transparent logistics/handling charges. Introduce enterprise subscriptions later for reserved sourcing capacity, procurement assistance, reporting and supplier discovery. Avoid charging twice for the same service without explaining the scope.</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cantSplit/>
          <w:tblHeader/>
        </w:trPr>
        <w:tc>
          <w:tcPr>
            <w:tcW w:type="dxa" w:w="4968"/>
            <w:shd w:fill="E3E8E4"/>
          </w:tcPr>
          <w:p>
            <w:pPr>
              <w:spacing w:after="80" w:before="80"/>
            </w:pPr>
            <w:r>
              <w:rPr>
                <w:b/>
                <w:sz w:val="18"/>
              </w:rPr>
              <w:t>Illustrative order excluding taxes</w:t>
            </w:r>
          </w:p>
        </w:tc>
        <w:tc>
          <w:tcPr>
            <w:tcW w:type="dxa" w:w="4968"/>
            <w:shd w:fill="E3E8E4"/>
          </w:tcPr>
          <w:p>
            <w:pPr>
              <w:spacing w:after="80" w:before="80"/>
            </w:pPr>
            <w:r>
              <w:rPr>
                <w:b/>
                <w:sz w:val="18"/>
              </w:rPr>
              <w:t>Amount</w:t>
            </w:r>
          </w:p>
        </w:tc>
      </w:tr>
      <w:tr>
        <w:trPr>
          <w:cantSplit/>
        </w:trPr>
        <w:tc>
          <w:tcPr>
            <w:tcW w:type="dxa" w:w="4968"/>
            <w:shd w:fill="FFFFFF"/>
          </w:tcPr>
          <w:p>
            <w:pPr>
              <w:spacing w:after="80" w:before="80"/>
            </w:pPr>
            <w:r>
              <w:rPr>
                <w:b w:val="0"/>
                <w:sz w:val="18"/>
              </w:rPr>
              <w:t>Material transaction value or GMV</w:t>
            </w:r>
          </w:p>
        </w:tc>
        <w:tc>
          <w:tcPr>
            <w:tcW w:type="dxa" w:w="4968"/>
            <w:shd w:fill="FFFFFF"/>
          </w:tcPr>
          <w:p>
            <w:pPr>
              <w:spacing w:after="80" w:before="80"/>
            </w:pPr>
            <w:r>
              <w:rPr>
                <w:b w:val="0"/>
                <w:sz w:val="18"/>
              </w:rPr>
              <w:t>₹1,00,000</w:t>
            </w:r>
          </w:p>
        </w:tc>
      </w:tr>
      <w:tr>
        <w:trPr>
          <w:cantSplit/>
        </w:trPr>
        <w:tc>
          <w:tcPr>
            <w:tcW w:type="dxa" w:w="4968"/>
            <w:shd w:fill="F6F7F6"/>
          </w:tcPr>
          <w:p>
            <w:pPr>
              <w:spacing w:after="80" w:before="80"/>
            </w:pPr>
            <w:r>
              <w:rPr>
                <w:b w:val="0"/>
                <w:sz w:val="18"/>
              </w:rPr>
              <w:t>Commission at 10%</w:t>
            </w:r>
          </w:p>
        </w:tc>
        <w:tc>
          <w:tcPr>
            <w:tcW w:type="dxa" w:w="4968"/>
            <w:shd w:fill="F6F7F6"/>
          </w:tcPr>
          <w:p>
            <w:pPr>
              <w:spacing w:after="80" w:before="80"/>
            </w:pPr>
            <w:r>
              <w:rPr>
                <w:b w:val="0"/>
                <w:sz w:val="18"/>
              </w:rPr>
              <w:t>₹10,000</w:t>
            </w:r>
          </w:p>
        </w:tc>
      </w:tr>
      <w:tr>
        <w:trPr>
          <w:cantSplit/>
        </w:trPr>
        <w:tc>
          <w:tcPr>
            <w:tcW w:type="dxa" w:w="4968"/>
            <w:shd w:fill="FFFFFF"/>
          </w:tcPr>
          <w:p>
            <w:pPr>
              <w:spacing w:after="80" w:before="80"/>
            </w:pPr>
            <w:r>
              <w:rPr>
                <w:b w:val="0"/>
                <w:sz w:val="18"/>
              </w:rPr>
              <w:t>Inspection and sourcing fee</w:t>
            </w:r>
          </w:p>
        </w:tc>
        <w:tc>
          <w:tcPr>
            <w:tcW w:type="dxa" w:w="4968"/>
            <w:shd w:fill="FFFFFF"/>
          </w:tcPr>
          <w:p>
            <w:pPr>
              <w:spacing w:after="80" w:before="80"/>
            </w:pPr>
            <w:r>
              <w:rPr>
                <w:b w:val="0"/>
                <w:sz w:val="18"/>
              </w:rPr>
              <w:t>₹2,000</w:t>
            </w:r>
          </w:p>
        </w:tc>
      </w:tr>
      <w:tr>
        <w:trPr>
          <w:cantSplit/>
        </w:trPr>
        <w:tc>
          <w:tcPr>
            <w:tcW w:type="dxa" w:w="4968"/>
            <w:shd w:fill="F6F7F6"/>
          </w:tcPr>
          <w:p>
            <w:pPr>
              <w:spacing w:after="80" w:before="80"/>
            </w:pPr>
            <w:r>
              <w:rPr>
                <w:b w:val="0"/>
                <w:sz w:val="18"/>
              </w:rPr>
              <w:t>Platform revenue</w:t>
            </w:r>
          </w:p>
        </w:tc>
        <w:tc>
          <w:tcPr>
            <w:tcW w:type="dxa" w:w="4968"/>
            <w:shd w:fill="F6F7F6"/>
          </w:tcPr>
          <w:p>
            <w:pPr>
              <w:spacing w:after="80" w:before="80"/>
            </w:pPr>
            <w:r>
              <w:rPr>
                <w:b w:val="0"/>
                <w:sz w:val="18"/>
              </w:rPr>
              <w:t>₹12,000</w:t>
            </w:r>
          </w:p>
        </w:tc>
      </w:tr>
      <w:tr>
        <w:trPr>
          <w:cantSplit/>
        </w:trPr>
        <w:tc>
          <w:tcPr>
            <w:tcW w:type="dxa" w:w="4968"/>
            <w:shd w:fill="FFFFFF"/>
          </w:tcPr>
          <w:p>
            <w:pPr>
              <w:spacing w:after="80" w:before="80"/>
            </w:pPr>
            <w:r>
              <w:rPr>
                <w:b w:val="0"/>
                <w:sz w:val="18"/>
              </w:rPr>
              <w:t>Variable inspection and handling costs</w:t>
            </w:r>
          </w:p>
        </w:tc>
        <w:tc>
          <w:tcPr>
            <w:tcW w:type="dxa" w:w="4968"/>
            <w:shd w:fill="FFFFFF"/>
          </w:tcPr>
          <w:p>
            <w:pPr>
              <w:spacing w:after="80" w:before="80"/>
            </w:pPr>
            <w:r>
              <w:rPr>
                <w:b w:val="0"/>
                <w:sz w:val="18"/>
              </w:rPr>
              <w:t>₹4,000</w:t>
            </w:r>
          </w:p>
        </w:tc>
      </w:tr>
      <w:tr>
        <w:trPr>
          <w:cantSplit/>
        </w:trPr>
        <w:tc>
          <w:tcPr>
            <w:tcW w:type="dxa" w:w="4968"/>
            <w:shd w:fill="F6F7F6"/>
          </w:tcPr>
          <w:p>
            <w:pPr>
              <w:spacing w:after="80" w:before="80"/>
            </w:pPr>
            <w:r>
              <w:rPr>
                <w:b w:val="0"/>
                <w:sz w:val="18"/>
              </w:rPr>
              <w:t>Contribution before fixed costs</w:t>
            </w:r>
          </w:p>
        </w:tc>
        <w:tc>
          <w:tcPr>
            <w:tcW w:type="dxa" w:w="4968"/>
            <w:shd w:fill="F6F7F6"/>
          </w:tcPr>
          <w:p>
            <w:pPr>
              <w:spacing w:after="80" w:before="80"/>
            </w:pPr>
            <w:r>
              <w:rPr>
                <w:b w:val="0"/>
                <w:sz w:val="18"/>
              </w:rPr>
              <w:t>₹8,000</w:t>
            </w:r>
          </w:p>
        </w:tc>
      </w:tr>
    </w:tbl>
    <w:p>
      <w:r>
        <w:t>Transport is charged separately in this example. Any transport margin and associated costs must be recorded consistently. Payment fees, refunds, replacement losses and non-recoverable taxes must also be deducted when incurred. Contribution is not net profit. At an assumed ₹2 lakh monthly fixed cost, ₹8,000 contribution requires 25 similar orders monthly, before additional omitted costs.</w:t>
      </w:r>
    </w:p>
    <w:p>
      <w:r>
        <w:t>The earlier 1,000-brick illustration is a different principal-resale model: ₹4,000 purchase + ₹800 transport + ₹500 inspection/sorting + ₹200 storage = ₹5,500 cost; ₹7,000 sales leaves ₹1,500 contribution, or 21.4%. Do not combine resale revenue and commission revenue on the same transaction. Both examples require real quotations.</w:t>
      </w:r>
    </w:p>
    <w:p>
      <w:pPr>
        <w:pStyle w:val="Heading2"/>
      </w:pPr>
      <w:r>
        <w:t>Funding and price validation</w:t>
      </w:r>
    </w:p>
    <w:p>
      <w:r>
        <w:t>Pilot hypothesis: buyers save 10–20% against a comparable new product on total landed cost. Validate matched specification, taxes, breakage and delivery. A funding ask should equal six months of forecast net cash burn plus deposits, working capital and contingency. A provisional ₹20 lakh planning envelope could allocate ₹12 lakh to six months of ₹2 lakh fixed costs, ₹5 lakh to deposits/working capital and ₹3 lakh contingency; this is not a quoted requirement or valuation.</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cantSplit/>
          <w:tblHeader/>
        </w:trPr>
        <w:tc>
          <w:tcPr>
            <w:tcW w:type="dxa" w:w="4968"/>
            <w:shd w:fill="E3E8E4"/>
          </w:tcPr>
          <w:p>
            <w:pPr>
              <w:spacing w:after="80" w:before="80"/>
            </w:pPr>
            <w:r>
              <w:rPr>
                <w:b/>
                <w:sz w:val="18"/>
              </w:rPr>
              <w:t>Four primary metrics</w:t>
            </w:r>
          </w:p>
        </w:tc>
        <w:tc>
          <w:tcPr>
            <w:tcW w:type="dxa" w:w="4968"/>
            <w:shd w:fill="E3E8E4"/>
          </w:tcPr>
          <w:p>
            <w:pPr>
              <w:spacing w:after="80" w:before="80"/>
            </w:pPr>
            <w:r>
              <w:rPr>
                <w:b/>
                <w:sz w:val="18"/>
              </w:rPr>
              <w:t>Decision use</w:t>
            </w:r>
          </w:p>
        </w:tc>
      </w:tr>
      <w:tr>
        <w:trPr>
          <w:cantSplit/>
        </w:trPr>
        <w:tc>
          <w:tcPr>
            <w:tcW w:type="dxa" w:w="4968"/>
            <w:shd w:fill="FFFFFF"/>
          </w:tcPr>
          <w:p>
            <w:pPr>
              <w:spacing w:after="80" w:before="80"/>
            </w:pPr>
            <w:r>
              <w:rPr>
                <w:b w:val="0"/>
                <w:sz w:val="18"/>
              </w:rPr>
              <w:t>On time in full delivery</w:t>
            </w:r>
          </w:p>
        </w:tc>
        <w:tc>
          <w:tcPr>
            <w:tcW w:type="dxa" w:w="4968"/>
            <w:shd w:fill="FFFFFF"/>
          </w:tcPr>
          <w:p>
            <w:pPr>
              <w:spacing w:after="80" w:before="80"/>
            </w:pPr>
            <w:r>
              <w:rPr>
                <w:b w:val="0"/>
                <w:sz w:val="18"/>
              </w:rPr>
              <w:t>Target ≥95% after pilot; adjust lead times and suppliers when missed.</w:t>
            </w:r>
          </w:p>
        </w:tc>
      </w:tr>
      <w:tr>
        <w:trPr>
          <w:cantSplit/>
        </w:trPr>
        <w:tc>
          <w:tcPr>
            <w:tcW w:type="dxa" w:w="4968"/>
            <w:shd w:fill="F6F7F6"/>
          </w:tcPr>
          <w:p>
            <w:pPr>
              <w:spacing w:after="80" w:before="80"/>
            </w:pPr>
            <w:r>
              <w:rPr>
                <w:b w:val="0"/>
                <w:sz w:val="18"/>
              </w:rPr>
              <w:t>Quality rejection rate</w:t>
            </w:r>
          </w:p>
        </w:tc>
        <w:tc>
          <w:tcPr>
            <w:tcW w:type="dxa" w:w="4968"/>
            <w:shd w:fill="F6F7F6"/>
          </w:tcPr>
          <w:p>
            <w:pPr>
              <w:spacing w:after="80" w:before="80"/>
            </w:pPr>
            <w:r>
              <w:rPr>
                <w:b w:val="0"/>
                <w:sz w:val="18"/>
              </w:rPr>
              <w:t>Target &lt;3% after pilot; revise inspections and suspend failing batches.</w:t>
            </w:r>
          </w:p>
        </w:tc>
      </w:tr>
      <w:tr>
        <w:trPr>
          <w:cantSplit/>
        </w:trPr>
        <w:tc>
          <w:tcPr>
            <w:tcW w:type="dxa" w:w="4968"/>
            <w:shd w:fill="FFFFFF"/>
          </w:tcPr>
          <w:p>
            <w:pPr>
              <w:spacing w:after="80" w:before="80"/>
            </w:pPr>
            <w:r>
              <w:rPr>
                <w:b w:val="0"/>
                <w:sz w:val="18"/>
              </w:rPr>
              <w:t>Contribution per order</w:t>
            </w:r>
          </w:p>
        </w:tc>
        <w:tc>
          <w:tcPr>
            <w:tcW w:type="dxa" w:w="4968"/>
            <w:shd w:fill="FFFFFF"/>
          </w:tcPr>
          <w:p>
            <w:pPr>
              <w:spacing w:after="80" w:before="80"/>
            </w:pPr>
            <w:r>
              <w:rPr>
                <w:b w:val="0"/>
                <w:sz w:val="18"/>
              </w:rPr>
              <w:t>Track all variable costs; reject uneconomic routes and minimum order sizes.</w:t>
            </w:r>
          </w:p>
        </w:tc>
      </w:tr>
      <w:tr>
        <w:trPr>
          <w:cantSplit/>
        </w:trPr>
        <w:tc>
          <w:tcPr>
            <w:tcW w:type="dxa" w:w="4968"/>
            <w:shd w:fill="F6F7F6"/>
          </w:tcPr>
          <w:p>
            <w:pPr>
              <w:spacing w:after="80" w:before="80"/>
            </w:pPr>
            <w:r>
              <w:rPr>
                <w:b w:val="0"/>
                <w:sz w:val="18"/>
              </w:rPr>
              <w:t>90 day repeat purchase rate</w:t>
            </w:r>
          </w:p>
        </w:tc>
        <w:tc>
          <w:tcPr>
            <w:tcW w:type="dxa" w:w="4968"/>
            <w:shd w:fill="F6F7F6"/>
          </w:tcPr>
          <w:p>
            <w:pPr>
              <w:spacing w:after="80" w:before="80"/>
            </w:pPr>
            <w:r>
              <w:rPr>
                <w:b w:val="0"/>
                <w:sz w:val="18"/>
              </w:rPr>
              <w:t>Measure eligible returning buyers; validate procurement value and retention.</w:t>
            </w:r>
          </w:p>
        </w:tc>
      </w:tr>
    </w:tbl>
    <w:p>
      <w:r>
        <w:t>Targets are proposed. Also record verified tonnes reused/recycled without double counting. Carbon claims require a defensible material-specific lifecycle method.</w:t>
      </w:r>
    </w:p>
    <w:p>
      <w:r>
        <w:br w:type="page"/>
      </w:r>
    </w:p>
    <w:p>
      <w:pPr>
        <w:pStyle w:val="Heading1"/>
      </w:pPr>
      <w:r>
        <w:t>Evidence two year plan and pitch</w:t>
      </w:r>
    </w:p>
    <w:p>
      <w:pPr>
        <w:pStyle w:val="Heading2"/>
      </w:pPr>
      <w:r>
        <w:t>Hyderabad evidence and market sizing</w:t>
      </w:r>
    </w:p>
    <w:p>
      <w:r>
        <w:t>GHMC publishes an approximately 2,000 tonnes/day waste estimate. Multiplying by 365 gives 730,000 tonnes/year, not audited annual generation. CSE reports four plants with 2,250 tonnes/day combined installed capacity using 2024 data. These different-period figures do not establish current utilisation. The supplied 26% processing claim was not independently verified and is excluded. [1–2]</w:t>
      </w:r>
    </w:p>
    <w:p>
      <w:r>
        <w:t>An illustrative supply funnel assumes 3% commercially recoverable for our categories: 21,900 tonnes/year; 50% serviceable: 10,950 tonnes/year; Year 2 captured volume: 1,580 tonnes/year, or 14.4% of that assumed serviceable pool. At an assumed ₹8,000/tonne, corresponding GMV is ₹17.52 crore, ₹8.76 crore and ₹1.264 crore. The Year 2 commission at 10% is only ₹12.64 lakh before fees and costs. This does not cover the illustrative ₹24 lakh annual fixed cost by itself. Revise volume, cost or fee assumptions before claiming profitability.</w:t>
      </w:r>
    </w:p>
    <w:p>
      <w:pPr>
        <w:pStyle w:val="Heading2"/>
      </w:pPr>
      <w:r>
        <w:t>Regulation as a demand driver</w:t>
      </w:r>
    </w:p>
    <w:p>
      <w:r>
        <w:t>The 2025 rules commenced on 1 April 2026. The notified producer definition uses a built-up area threshold of at least 20,000 m². The notified reconstruction/demolition EPR schedule is 50%, 75% and 100% from FY2026–27, FY2027–28 and FY2028–29 respectively, using the rules’ prior-year assessment basis. Building utilisation targets start at 5% and rise to 25%; roads have a separate schedule. Reusable wood, iron, metal, plastic and glass are excluded from relevant target calculations. Verify applicable amendments and project classification before offering advice. [3–4]</w:t>
      </w:r>
    </w:p>
    <w:p>
      <w:r>
        <w:t>ReBuild can support records, eligible procurement and authorised recycler routing. A material passport is not an EPR certificate; the statutory system and eligible registered entities control those certificates. Direct Gazette retrieval failed during this research, and subsequent amendments were not exhaustively verified. The notified text and official CPCB system inform this concept.</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4968"/>
      </w:tblGrid>
      <w:tr>
        <w:trPr>
          <w:cantSplit/>
          <w:tblHeader/>
        </w:trPr>
        <w:tc>
          <w:tcPr>
            <w:tcW w:type="dxa" w:w="4968"/>
            <w:shd w:fill="E3E8E4"/>
          </w:tcPr>
          <w:p>
            <w:pPr>
              <w:spacing w:after="80" w:before="80"/>
            </w:pPr>
            <w:r>
              <w:rPr>
                <w:b/>
                <w:sz w:val="18"/>
              </w:rPr>
              <w:t>Period</w:t>
            </w:r>
          </w:p>
        </w:tc>
        <w:tc>
          <w:tcPr>
            <w:tcW w:type="dxa" w:w="4968"/>
            <w:shd w:fill="E3E8E4"/>
          </w:tcPr>
          <w:p>
            <w:pPr>
              <w:spacing w:after="80" w:before="80"/>
            </w:pPr>
            <w:r>
              <w:rPr>
                <w:b/>
                <w:sz w:val="18"/>
              </w:rPr>
              <w:t>Milestone and expansion gate</w:t>
            </w:r>
          </w:p>
        </w:tc>
      </w:tr>
      <w:tr>
        <w:trPr>
          <w:cantSplit/>
        </w:trPr>
        <w:tc>
          <w:tcPr>
            <w:tcW w:type="dxa" w:w="4968"/>
            <w:shd w:fill="FFFFFF"/>
          </w:tcPr>
          <w:p>
            <w:pPr>
              <w:spacing w:after="80" w:before="80"/>
            </w:pPr>
            <w:r>
              <w:rPr>
                <w:b w:val="0"/>
                <w:sz w:val="18"/>
              </w:rPr>
              <w:t>Months 1–6</w:t>
            </w:r>
          </w:p>
        </w:tc>
        <w:tc>
          <w:tcPr>
            <w:tcW w:type="dxa" w:w="4968"/>
            <w:shd w:fill="FFFFFF"/>
          </w:tcPr>
          <w:p>
            <w:pPr>
              <w:spacing w:after="80" w:before="80"/>
            </w:pPr>
            <w:r>
              <w:rPr>
                <w:b w:val="0"/>
                <w:sz w:val="18"/>
              </w:rPr>
              <w:t>One Hyderabad service area; three specifications; paid pilots and measured contribution.</w:t>
            </w:r>
          </w:p>
        </w:tc>
      </w:tr>
      <w:tr>
        <w:trPr>
          <w:cantSplit/>
        </w:trPr>
        <w:tc>
          <w:tcPr>
            <w:tcW w:type="dxa" w:w="4968"/>
            <w:shd w:fill="F6F7F6"/>
          </w:tcPr>
          <w:p>
            <w:pPr>
              <w:spacing w:after="80" w:before="80"/>
            </w:pPr>
            <w:r>
              <w:rPr>
                <w:b w:val="0"/>
                <w:sz w:val="18"/>
              </w:rPr>
              <w:t>Months 7–12</w:t>
            </w:r>
          </w:p>
        </w:tc>
        <w:tc>
          <w:tcPr>
            <w:tcW w:type="dxa" w:w="4968"/>
            <w:shd w:fill="F6F7F6"/>
          </w:tcPr>
          <w:p>
            <w:pPr>
              <w:spacing w:after="80" w:before="80"/>
            </w:pPr>
            <w:r>
              <w:rPr>
                <w:b w:val="0"/>
                <w:sz w:val="18"/>
              </w:rPr>
              <w:t>Repeat buyers; backup suppliers; reservation workflow; expand within city if reliable.</w:t>
            </w:r>
          </w:p>
        </w:tc>
      </w:tr>
      <w:tr>
        <w:trPr>
          <w:cantSplit/>
        </w:trPr>
        <w:tc>
          <w:tcPr>
            <w:tcW w:type="dxa" w:w="4968"/>
            <w:shd w:fill="FFFFFF"/>
          </w:tcPr>
          <w:p>
            <w:pPr>
              <w:spacing w:after="80" w:before="80"/>
            </w:pPr>
            <w:r>
              <w:rPr>
                <w:b w:val="0"/>
                <w:sz w:val="18"/>
              </w:rPr>
              <w:t>Months 13–18</w:t>
            </w:r>
          </w:p>
        </w:tc>
        <w:tc>
          <w:tcPr>
            <w:tcW w:type="dxa" w:w="4968"/>
            <w:shd w:fill="FFFFFF"/>
          </w:tcPr>
          <w:p>
            <w:pPr>
              <w:spacing w:after="80" w:before="80"/>
            </w:pPr>
            <w:r>
              <w:rPr>
                <w:b w:val="0"/>
                <w:sz w:val="18"/>
              </w:rPr>
              <w:t>Partner-made recycled blocks and aggregates; quality evidence; eligible tender pilots.</w:t>
            </w:r>
          </w:p>
        </w:tc>
      </w:tr>
      <w:tr>
        <w:trPr>
          <w:cantSplit/>
        </w:trPr>
        <w:tc>
          <w:tcPr>
            <w:tcW w:type="dxa" w:w="4968"/>
            <w:shd w:fill="F6F7F6"/>
          </w:tcPr>
          <w:p>
            <w:pPr>
              <w:spacing w:after="80" w:before="80"/>
            </w:pPr>
            <w:r>
              <w:rPr>
                <w:b w:val="0"/>
                <w:sz w:val="18"/>
              </w:rPr>
              <w:t>Months 19–24</w:t>
            </w:r>
          </w:p>
        </w:tc>
        <w:tc>
          <w:tcPr>
            <w:tcW w:type="dxa" w:w="4968"/>
            <w:shd w:fill="F6F7F6"/>
          </w:tcPr>
          <w:p>
            <w:pPr>
              <w:spacing w:after="80" w:before="80"/>
            </w:pPr>
            <w:r>
              <w:rPr>
                <w:b w:val="0"/>
                <w:sz w:val="18"/>
              </w:rPr>
              <w:t>One second city only after anchor buyers, processors and route economics are established.</w:t>
            </w:r>
          </w:p>
        </w:tc>
      </w:tr>
    </w:tbl>
    <w:p>
      <w:pPr>
        <w:pStyle w:val="Heading2"/>
      </w:pPr>
      <w:r>
        <w:t>Pitch structure and demonstration</w:t>
      </w:r>
    </w:p>
    <w:p>
      <w:r>
        <w:t>Use ten slides over 8–10 minutes: buyer problem; sourced local evidence; product; 200-tile fulfilment demo; passport and quality; operating workflow; competition and GTM; economics; two-year milestones/KPIs; funding and next validation. Demo the passport, the excluded shade mismatch, a supply shortfall and the recycling loop. Explain that the website is a prototype, not traction.</w:t>
      </w:r>
    </w:p>
    <w:p>
      <w:r>
        <w:br w:type="page"/>
      </w:r>
    </w:p>
    <w:p>
      <w:pPr>
        <w:pStyle w:val="Heading1"/>
      </w:pPr>
      <w:r>
        <w:t>Sources validation and implementation scope</w:t>
      </w:r>
    </w:p>
    <w:p>
      <w:pPr>
        <w:pStyle w:val="Heading2"/>
      </w:pPr>
      <w:r>
        <w:t>Source register</w:t>
      </w:r>
    </w:p>
    <w:p>
      <w:r>
        <w:t>1 GHMC published C and D information</w:t>
      </w:r>
    </w:p>
    <w:p>
      <w:r>
        <w:rPr>
          <w:sz w:val="16"/>
        </w:rPr>
        <w:t>https://www.ghmc.gov.in/announcements/GHMC%20C%26D%20Website%20Info_compressed.pdf</w:t>
      </w:r>
    </w:p>
    <w:p>
      <w:r>
        <w:t>2 CSE Hyderabad factsheet</w:t>
      </w:r>
    </w:p>
    <w:p>
      <w:r>
        <w:rPr>
          <w:sz w:val="16"/>
        </w:rPr>
        <w:t>https://www.cseindia.org/content/downloadreports/12713</w:t>
      </w:r>
    </w:p>
    <w:p>
      <w:r>
        <w:t>3 CPCB C and D system</w:t>
      </w:r>
    </w:p>
    <w:p>
      <w:r>
        <w:rPr>
          <w:sz w:val="16"/>
        </w:rPr>
        <w:t>https://cdwm.cpcb.gov.in/</w:t>
      </w:r>
    </w:p>
    <w:p>
      <w:r>
        <w:t>4 Notified rules and commencement</w:t>
      </w:r>
    </w:p>
    <w:p>
      <w:r>
        <w:rPr>
          <w:sz w:val="16"/>
        </w:rPr>
        <w:t>https://egazette.gov.in/WriteReadData/2025/262313.pdf</w:t>
      </w:r>
    </w:p>
    <w:p>
      <w:r>
        <w:t>4a Retrieved transcription</w:t>
      </w:r>
    </w:p>
    <w:p>
      <w:r>
        <w:rPr>
          <w:sz w:val="16"/>
        </w:rPr>
        <w:t>https://gazettetracker.com/g/CG-DL-E-05042025-262313</w:t>
      </w:r>
    </w:p>
    <w:p>
      <w:r>
        <w:t>4b PIB commencement announcement</w:t>
      </w:r>
    </w:p>
    <w:p>
      <w:r>
        <w:rPr>
          <w:sz w:val="16"/>
        </w:rPr>
        <w:t>https://www.pib.gov.in/PressReleasePage.aspx?PRID=2230897&amp;lang=1&amp;reg=3</w:t>
      </w:r>
    </w:p>
    <w:p>
      <w:r>
        <w:t>5 ZiNterio public offering</w:t>
      </w:r>
    </w:p>
    <w:p>
      <w:r>
        <w:rPr>
          <w:sz w:val="16"/>
        </w:rPr>
        <w:t>https://surplus.zinterio.in/</w:t>
      </w:r>
    </w:p>
    <w:p>
      <w:pPr>
        <w:pStyle w:val="Heading2"/>
      </w:pPr>
      <w:r>
        <w:t>Validation before launch</w:t>
      </w:r>
    </w:p>
    <w:p>
      <w:r>
        <w:t>Obtain three buyer discussions, two supplier quotations, one route-specific transport quotation and one like-for-like new-material quotation. Confirm laboratory sampling, turnaround and cost. Secure recycler acceptance/offtake terms and required local permissions. Test whether buyer willingness to pay covers inspections, multi-stop logistics, damage and replacement risk. Do not describe planned agreements as signed partnerships.</w:t>
      </w:r>
    </w:p>
    <w:p>
      <w:pPr>
        <w:pStyle w:val="Heading2"/>
      </w:pPr>
      <w:r>
        <w:t>Website implemented scope</w:t>
      </w:r>
    </w:p>
    <w:p>
      <w:r>
        <w:t>The prototype includes a responsive block-inspired homepage, searchable/filterable sample catalogue, QR-linked passports, downloadable sample records, compatible-batch allocation with shortfall handling, local photo preview, a sample survey, browser-local requirements and a recycling-loop explanation. It does not run AI recognition, accept payments, dispatch vehicles, certify materials or send supplier requests. The hosted site is private unless the owner changes access.</w:t>
      </w:r>
    </w:p>
    <w:p>
      <w:pPr>
        <w:pStyle w:val="Heading2"/>
      </w:pPr>
      <w:r>
        <w:t>Risks and responses</w:t>
      </w:r>
    </w:p>
    <w:p>
      <w:r>
        <w:t>Mismatch: use technical criteria and physical sample approval. Stock loss: reserve verified lots and retain backup suppliers. Poor margin: price total fulfilment cost and enforce viable order sizes. Quality liability: written acceptance criteria, appropriate testing and engineering review. Working capital: staged payments and explicit settlement terms. Demand risk: secure recurring buyers before expanding yards. Forecast error: distinguish planned quantities from verified stock.</w:t>
      </w:r>
    </w:p>
    <w:p>
      <w:pPr>
        <w:pStyle w:val="Heading2"/>
      </w:pPr>
      <w:r>
        <w:t>Opening statement</w:t>
      </w:r>
    </w:p>
    <w:p>
      <w:r>
        <w:t>A contractor cannot schedule workers around materials that might become available. ReBuild turns fragmented circular materials into a procurement plan: a defined specification, traceable batches and a coordinated delivery. We start in Hyderabad, prove reliable fulfilment, and expand only when the economics work.</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Planning concept • 1 November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REBUILD   /   E-MERGE 2026   /   BUSINESS OUTLINE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